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Зарегистрировано в Минюсте России 19 марта 2013 г. N 27756</w:t>
      </w:r>
    </w:p>
    <w:p w:rsidR="00C514A5" w:rsidRDefault="00C514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20 декабря 2012 г. N 1199н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СТАНДАРТА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ГОРТАНОГЛОТКИ 0-IV СТАДИИ (ОБСЛЕДОВАНИЕ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соответствии со </w:t>
      </w:r>
      <w:hyperlink r:id="rId4" w:history="1">
        <w:r>
          <w:rPr>
            <w:rFonts w:ascii="Calibri" w:hAnsi="Calibri" w:cs="Calibri"/>
            <w:color w:val="0000FF"/>
          </w:rPr>
          <w:t>статьей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стандарт</w:t>
        </w:r>
      </w:hyperlink>
      <w:r>
        <w:rPr>
          <w:rFonts w:ascii="Calibri" w:hAnsi="Calibri" w:cs="Calibri"/>
        </w:rPr>
        <w:t xml:space="preserve"> первичной медико-санитарной помощи при злокачественных новообразованиях гортаноглотки 0-IV стадии (обследование при проведении диспансерного наблюдения) согласно приложению.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В.И.СКВОРЦОВА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r>
        <w:rPr>
          <w:rFonts w:ascii="Calibri" w:hAnsi="Calibri" w:cs="Calibri"/>
        </w:rPr>
        <w:t>Приложение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к приказу Министерства здравоохранения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20 декабря 2012 г. N 1199н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0" w:name="Par29"/>
      <w:bookmarkEnd w:id="0"/>
      <w:r>
        <w:rPr>
          <w:rFonts w:ascii="Calibri" w:hAnsi="Calibri" w:cs="Calibri"/>
          <w:b/>
          <w:bCs/>
        </w:rPr>
        <w:t>СТАНДАРТ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ПЕРВИЧНОЙ МЕДИКО-САНИТАРНОЙ ПОМОЩИ ПРИ ЗЛОКАЧЕСТВЕННЫХ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НОВООБРАЗОВАНИЯХ ГОРТАНОГЛОТКИ 0-IV СТАДИИ (ОБСЛЕДОВАНИЕ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 ПРОВЕДЕНИИ ДИСПАНСЕРНОГО НАБЛЮДЕНИЯ)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Категория возрастная: взрослые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Пол: любой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Фаза: первичный процесс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Стадия: 0-IV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Осложнения: без осложнений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медицинской помощи: первичная медико-санитарная помощь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Условия оказания медицинской помощи: амбулаторно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Форма оказания медицинской помощи: плановая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Средние сроки лечения (количество дней): 10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Код по </w:t>
      </w:r>
      <w:hyperlink r:id="rId5" w:history="1">
        <w:r>
          <w:rPr>
            <w:rFonts w:ascii="Calibri" w:hAnsi="Calibri" w:cs="Calibri"/>
            <w:color w:val="0000FF"/>
          </w:rPr>
          <w:t>МКБ X</w:t>
        </w:r>
      </w:hyperlink>
      <w:r>
        <w:rPr>
          <w:rFonts w:ascii="Calibri" w:hAnsi="Calibri" w:cs="Calibri"/>
        </w:rPr>
        <w:t xml:space="preserve"> </w:t>
      </w:r>
      <w:hyperlink w:anchor="Par234" w:history="1">
        <w:r>
          <w:rPr>
            <w:rFonts w:ascii="Calibri" w:hAnsi="Calibri" w:cs="Calibri"/>
            <w:color w:val="0000FF"/>
          </w:rPr>
          <w:t>&lt;*&gt;</w:t>
        </w:r>
      </w:hyperlink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Нозологические единицы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C12    Злокачественное новообразование</w:t>
      </w:r>
    </w:p>
    <w:p w:rsidR="00C514A5" w:rsidRDefault="00C514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грушевидного синуса</w:t>
      </w:r>
    </w:p>
    <w:p w:rsidR="00C514A5" w:rsidRDefault="00C514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C13    Злокачественное новообразование</w:t>
      </w:r>
    </w:p>
    <w:p w:rsidR="00C514A5" w:rsidRDefault="00C514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нижней части глотки</w:t>
      </w:r>
    </w:p>
    <w:p w:rsidR="00C514A5" w:rsidRDefault="00C514A5">
      <w:pPr>
        <w:pStyle w:val="ConsPlusCell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lastRenderedPageBreak/>
        <w:t xml:space="preserve">                                 C14.1  Гортаноглотки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1. Медицинские мероприятия для диагностики заболевания, состояния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2520"/>
        <w:gridCol w:w="3120"/>
        <w:gridCol w:w="2160"/>
      </w:tblGrid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Прием (осмотр, консультация) врача-специалиста             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Наименование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медицинской услуги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показатель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частоты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предоставления </w:t>
            </w:r>
            <w:hyperlink w:anchor="Par70" w:history="1">
              <w:r>
                <w:rPr>
                  <w:rFonts w:ascii="Courier New" w:hAnsi="Courier New" w:cs="Courier New"/>
                  <w:color w:val="0000FF"/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применения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B04.027.001</w:t>
            </w:r>
          </w:p>
        </w:tc>
        <w:tc>
          <w:tcPr>
            <w:tcW w:w="25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Диспансерный прием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(осмотр,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консультация)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врача-онколога 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       </w:t>
            </w:r>
          </w:p>
        </w:tc>
        <w:tc>
          <w:tcPr>
            <w:tcW w:w="21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2               </w:t>
            </w:r>
          </w:p>
        </w:tc>
      </w:tr>
    </w:tbl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1" w:name="Par70"/>
      <w:bookmarkEnd w:id="1"/>
      <w:r>
        <w:rPr>
          <w:rFonts w:ascii="Calibri" w:hAnsi="Calibri" w:cs="Calibri"/>
        </w:rPr>
        <w:t>&lt;1&gt; Вероятность предоставления медицинских услуг или назначения лекарственных препаратов для медицинского применения (медицинских изделий), включенных в стандарт медицинской помощи, которая может принимать значения от 0 до 1, где 1 означает, что данное мероприятие проводится 100% пациентов, соответствующих данной модели, а цифры менее 1 - указанному в стандарте медицинской помощи проценту пациентов, имеющих соответствующие медицинские показания.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560"/>
        <w:gridCol w:w="3600"/>
        <w:gridCol w:w="2280"/>
        <w:gridCol w:w="1920"/>
      </w:tblGrid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Лабораторные методы исследования                           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Код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медицинской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услуги  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Наименование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      услуги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A08.06.001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Цитологическое исследование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лимфоузла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A08.08.001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Морфологическое исследование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препарата тканей верхних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дыхательных путей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A12.06.011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Проведение реакции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Вассермана (RW)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A26.06.036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антигена к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вирусу гепатита B (HBsAg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Hepatitis B virus) в крови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A26.06.041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вирусному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гепатиту C (Hepatitis C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virus) в крови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A26.06.048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1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1)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A26.06.049 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Определение антител классов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M, G (IgM, IgG) к вирусу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>иммунодефицита человека ВИЧ-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2 (Human immunodeficiency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virus HIV 2) в крови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B03.005.006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Коагулограмма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(ориентировочное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системы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гемостаза)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B03.016.003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Общий (клинический) анализ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крови развернутый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B03.016.004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крови биохимический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общетерапевтический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B03.016.006</w:t>
            </w:r>
          </w:p>
        </w:tc>
        <w:tc>
          <w:tcPr>
            <w:tcW w:w="36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Анализ мочи общий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</w:t>
            </w:r>
          </w:p>
        </w:tc>
      </w:tr>
    </w:tbl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1920"/>
        <w:gridCol w:w="3120"/>
        <w:gridCol w:w="2280"/>
        <w:gridCol w:w="2040"/>
      </w:tblGrid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lastRenderedPageBreak/>
              <w:t xml:space="preserve">Инструментальные методы исследования                       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Наименование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медицинской услуги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Ларингоскопия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Фарингоскопия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A03.09.002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Трахеоскопия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A04.01.001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мягких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тканей (одна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анатомическая зона)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A04.06.002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лимфатических узлов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(одна анатомическая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зона)  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A05.08.002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гортаноглотки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A05.30.008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Магнитно-резонансная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томография шеи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A06.08.001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глотки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A06.08.002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гортани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 трахеи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A06.08.009.002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шеи с внутривенным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болюсным 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контрастированием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A06.09.005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Компьютерная томография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грудной полости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A06.09.007 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Рентгенография легких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19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B03.052.001   </w:t>
            </w:r>
          </w:p>
        </w:tc>
        <w:tc>
          <w:tcPr>
            <w:tcW w:w="31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Комплексное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ультразвуковое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исследование внутренних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органов                 </w:t>
            </w:r>
          </w:p>
        </w:tc>
        <w:tc>
          <w:tcPr>
            <w:tcW w:w="22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040"/>
        <w:gridCol w:w="2880"/>
        <w:gridCol w:w="2400"/>
        <w:gridCol w:w="2040"/>
      </w:tblGrid>
      <w:tr w:rsidR="00C514A5">
        <w:tblPrEx>
          <w:tblCellMar>
            <w:top w:w="0" w:type="dxa"/>
            <w:bottom w:w="0" w:type="dxa"/>
          </w:tblCellMar>
        </w:tblPrEx>
        <w:trPr>
          <w:trHeight w:val="600"/>
          <w:tblCellSpacing w:w="5" w:type="nil"/>
        </w:trPr>
        <w:tc>
          <w:tcPr>
            <w:tcW w:w="93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Хирургические, эндоскопические, эндоваскулярные и другие методы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диагностики, требующие анестезиологического и/или реаниматологического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сопровождения                                              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 Код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услуги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  Наименование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медицинской услуги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 Усредненный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показатель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  частоты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предоставления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  Усредненный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показатель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 кратности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  применения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10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A11.06.003.001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Пункция      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лимфатического узла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под контролем 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ультразвукового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исследования 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0,1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A11.08.008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слизистой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гортаноглотки    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400"/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A11.08.016     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Биопсия тканей        </w:t>
            </w:r>
            <w:r>
              <w:rPr>
                <w:rFonts w:ascii="Courier New" w:hAnsi="Courier New" w:cs="Courier New"/>
                <w:sz w:val="20"/>
                <w:szCs w:val="20"/>
              </w:rPr>
              <w:br/>
              <w:t xml:space="preserve">грушевидного кармана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0,05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>B01.003.004.001</w:t>
            </w:r>
          </w:p>
        </w:tc>
        <w:tc>
          <w:tcPr>
            <w:tcW w:w="28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Местная анестезия     </w:t>
            </w:r>
          </w:p>
        </w:tc>
        <w:tc>
          <w:tcPr>
            <w:tcW w:w="2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0,2               </w:t>
            </w:r>
          </w:p>
        </w:tc>
        <w:tc>
          <w:tcPr>
            <w:tcW w:w="20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  <w:r>
              <w:rPr>
                <w:rFonts w:ascii="Courier New" w:hAnsi="Courier New" w:cs="Courier New"/>
                <w:sz w:val="20"/>
                <w:szCs w:val="20"/>
              </w:rPr>
              <w:t xml:space="preserve">1              </w:t>
            </w:r>
          </w:p>
        </w:tc>
      </w:tr>
    </w:tbl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1"/>
        <w:rPr>
          <w:rFonts w:ascii="Calibri" w:hAnsi="Calibri" w:cs="Calibri"/>
        </w:rPr>
      </w:pPr>
      <w:r>
        <w:rPr>
          <w:rFonts w:ascii="Calibri" w:hAnsi="Calibri" w:cs="Calibri"/>
        </w:rPr>
        <w:t>2. Перечень лекарственных препаратов для медицинского применения, зарегистрированных на территории Российской Федерации, с указанием средних суточных и курсовых доз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672"/>
        <w:gridCol w:w="2208"/>
        <w:gridCol w:w="2112"/>
        <w:gridCol w:w="1728"/>
        <w:gridCol w:w="1248"/>
        <w:gridCol w:w="864"/>
        <w:gridCol w:w="960"/>
      </w:tblGrid>
      <w:tr w:rsidR="00C514A5">
        <w:tblPrEx>
          <w:tblCellMar>
            <w:top w:w="0" w:type="dxa"/>
            <w:bottom w:w="0" w:type="dxa"/>
          </w:tblCellMar>
        </w:tblPrEx>
        <w:trPr>
          <w:trHeight w:val="640"/>
          <w:tblCellSpacing w:w="5" w:type="nil"/>
        </w:trPr>
        <w:tc>
          <w:tcPr>
            <w:tcW w:w="6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Код 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   Анатомо-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терапевтическо-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 химическая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классификация    </w:t>
            </w:r>
          </w:p>
        </w:tc>
        <w:tc>
          <w:tcPr>
            <w:tcW w:w="21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 Наименование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лекарственного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препарата </w:t>
            </w:r>
            <w:hyperlink w:anchor="Par235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&lt;**&gt;</w:t>
              </w:r>
            </w:hyperlink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Усредненный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показатель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    частоты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предоставления </w:t>
            </w:r>
          </w:p>
        </w:tc>
        <w:tc>
          <w:tcPr>
            <w:tcW w:w="1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Единицы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 измерения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ССД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6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&lt;***&gt;</w:t>
              </w:r>
            </w:hyperlink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   СКД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</w:r>
            <w:hyperlink w:anchor="Par237" w:history="1">
              <w:r>
                <w:rPr>
                  <w:rFonts w:ascii="Courier New" w:hAnsi="Courier New" w:cs="Courier New"/>
                  <w:color w:val="0000FF"/>
                  <w:sz w:val="16"/>
                  <w:szCs w:val="16"/>
                </w:rPr>
                <w:t>&lt;****&gt;</w:t>
              </w:r>
            </w:hyperlink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32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lastRenderedPageBreak/>
              <w:t>N01AB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Эфиры аминобензойной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кислоты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Прокаин 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50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N01BB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Амиды   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 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Лидокаин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20 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rHeight w:val="800"/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>V08AB</w:t>
            </w: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Водорастворимые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нефротропные   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низкоосмолярные    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рентгеноконтрастные  </w:t>
            </w:r>
            <w:r>
              <w:rPr>
                <w:rFonts w:ascii="Courier New" w:hAnsi="Courier New" w:cs="Courier New"/>
                <w:sz w:val="16"/>
                <w:szCs w:val="16"/>
              </w:rPr>
              <w:br/>
              <w:t xml:space="preserve">средства             </w:t>
            </w: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0,11            </w:t>
            </w: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Йогексол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300     </w:t>
            </w:r>
          </w:p>
        </w:tc>
      </w:tr>
      <w:tr w:rsidR="00C514A5">
        <w:tblPrEx>
          <w:tblCellMar>
            <w:top w:w="0" w:type="dxa"/>
            <w:bottom w:w="0" w:type="dxa"/>
          </w:tblCellMar>
        </w:tblPrEx>
        <w:trPr>
          <w:tblCellSpacing w:w="5" w:type="nil"/>
        </w:trPr>
        <w:tc>
          <w:tcPr>
            <w:tcW w:w="6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2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1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Йопромид            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4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мг         </w:t>
            </w:r>
          </w:p>
        </w:tc>
        <w:tc>
          <w:tcPr>
            <w:tcW w:w="86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14A5" w:rsidRDefault="00C514A5">
            <w:pPr>
              <w:pStyle w:val="ConsPlusCell"/>
              <w:rPr>
                <w:rFonts w:ascii="Courier New" w:hAnsi="Courier New" w:cs="Courier New"/>
                <w:sz w:val="16"/>
                <w:szCs w:val="16"/>
              </w:rPr>
            </w:pPr>
            <w:r>
              <w:rPr>
                <w:rFonts w:ascii="Courier New" w:hAnsi="Courier New" w:cs="Courier New"/>
                <w:sz w:val="16"/>
                <w:szCs w:val="16"/>
              </w:rPr>
              <w:t xml:space="preserve">370     </w:t>
            </w:r>
          </w:p>
        </w:tc>
      </w:tr>
    </w:tbl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2" w:name="Par234"/>
      <w:bookmarkEnd w:id="2"/>
      <w:r>
        <w:rPr>
          <w:rFonts w:ascii="Calibri" w:hAnsi="Calibri" w:cs="Calibri"/>
        </w:rPr>
        <w:t xml:space="preserve">&lt;*&gt; Международная статистическая </w:t>
      </w:r>
      <w:hyperlink r:id="rId6" w:history="1">
        <w:r>
          <w:rPr>
            <w:rFonts w:ascii="Calibri" w:hAnsi="Calibri" w:cs="Calibri"/>
            <w:color w:val="0000FF"/>
          </w:rPr>
          <w:t>классификация</w:t>
        </w:r>
      </w:hyperlink>
      <w:r>
        <w:rPr>
          <w:rFonts w:ascii="Calibri" w:hAnsi="Calibri" w:cs="Calibri"/>
        </w:rPr>
        <w:t xml:space="preserve"> болезней и проблем, связанных со здоровьем, X пересмотра.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235"/>
      <w:bookmarkEnd w:id="3"/>
      <w:r>
        <w:rPr>
          <w:rFonts w:ascii="Calibri" w:hAnsi="Calibri" w:cs="Calibri"/>
        </w:rPr>
        <w:t>&lt;**&gt; Международное непатентованное или химическое наименование лекарственного препарата, а в случаях их отсутствия - торговое наименование лекарственного препарата.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236"/>
      <w:bookmarkEnd w:id="4"/>
      <w:r>
        <w:rPr>
          <w:rFonts w:ascii="Calibri" w:hAnsi="Calibri" w:cs="Calibri"/>
        </w:rPr>
        <w:t>&lt;***&gt; Средняя суточная доза.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237"/>
      <w:bookmarkEnd w:id="5"/>
      <w:r>
        <w:rPr>
          <w:rFonts w:ascii="Calibri" w:hAnsi="Calibri" w:cs="Calibri"/>
        </w:rPr>
        <w:t>&lt;****&gt; Средняя курсовая доза.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Примечания: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Лекарственные препараты для медицинского применения, зарегистрированные на территории Российской Федерации, назначаются в соответствии с инструкцией по применению лекарственного препарата для медицинского применения и фармакотерапевтической группой по анатомо-терапевтическо-химической классификации, рекомендованной Всемирной организацией здравоохранения, а также с учетом способа введения и применения лекарственного препарата.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Назначение и применение лекарственных препаратов для медицинского применения, медицинских изделий и специализированных продуктов лечебного питания, не входящих в стандарт медицинской помощи, допускаются в случае наличия медицинских показаний (индивидуальной непереносимости, по жизненным показаниям) по решению врачебной комиссии (</w:t>
      </w:r>
      <w:hyperlink r:id="rId7" w:history="1">
        <w:r>
          <w:rPr>
            <w:rFonts w:ascii="Calibri" w:hAnsi="Calibri" w:cs="Calibri"/>
            <w:color w:val="0000FF"/>
          </w:rPr>
          <w:t>часть 5 статьи 37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3446)).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Граждане, имеющие в соответствии с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17.07.1999 N 178-ФЗ "О государственной социальной помощи" (Собрание законодательства Российской Федерации, 1999, N 29, ст. 3699; 2004, N 35, ст. 3607; 2006, N 48, ст. 4945; 2007, N 43, ст. 5084; 2008, N 9, ст. 817; 2008, N 29, ст. 3410; N 52, ст. 6224; 2009, N 18, ст. 2152; N 30, ст. 3739; N 52, ст. 6417; 2010, N 50, ст. 6603; 2011, N 27, ст. 3880; 2012, N 31, ст. 4322) право на получение государственной социальной помощи в виде набора социальных услуг, при оказании медицинской помощи в амбулаторных условиях обеспечиваются лекарственными препаратами для медицинского применения, включенными в </w:t>
      </w:r>
      <w:hyperlink r:id="rId9" w:history="1">
        <w:r>
          <w:rPr>
            <w:rFonts w:ascii="Calibri" w:hAnsi="Calibri" w:cs="Calibri"/>
            <w:color w:val="0000FF"/>
          </w:rPr>
          <w:t>Перечень</w:t>
        </w:r>
      </w:hyperlink>
      <w:r>
        <w:rPr>
          <w:rFonts w:ascii="Calibri" w:hAnsi="Calibri" w:cs="Calibri"/>
        </w:rPr>
        <w:t xml:space="preserve"> лекарственных препаратов, в том числе перечень лекарственных препаратов, назначаемых по решению врачебной комиссии лечебно-профилактических учреждений, обеспечение которыми осуществляется в соответствии со стандартами медицинской помощи по рецептам врача (фельдшера) при оказании государственной социальной помощи в виде набора социальных услуг, утвержденный приказом Министерства здравоохранения и социального развития Российской Федерации от 18.09.2006 N 665 (зарегистрирован Министерством юстиции Российской Федерации 27.09.2006, регистрационный N 8322), с изменениями, внесенными приказами Министерства здравоохранения и социального развития Российской Федерации от 19.10.2007 N 651 (зарегистрирован Министерством юстиции Российской Федерации 19.10.2007, регистрационный N 10367), от 27.08.2008 N 451н (зарегистрирован Министерством юстиции Российской Федерации 10.09.2008, регистрационный N 12254), от 01.12.2008 N 690н (зарегистрирован Министерством юстиции Российской Федерации 22.12.2008, регистрационный N 12917), от 23.12.2008 N 760н (зарегистрирован Министерством юстиции Российской Федерации 28.01.2009, регистрационный N 13195) и от 10.11.2011 N 1340н (зарегистрирован Министерством юстиции Российской Федерации 23.11.2011, регистрационный N 22368).</w:t>
      </w: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C514A5" w:rsidRDefault="00C514A5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C514A5" w:rsidRDefault="00C514A5"/>
    <w:sectPr w:rsidR="00C514A5" w:rsidSect="00BA1F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514A5"/>
    <w:rsid w:val="00C514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514A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D7D54FE6C921AD885821268AB5AD28709BB9BD4C59B2417AFAF8EE19AGDhE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D7D54FE6C921AD885821268AB5AD28709BB94DEC59D2417AFAF8EE19ADEDF50EEFF43CDD4B7A8D2GAh0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D7D54FE6C921AD88582136CB85AD28709B694D6CEC87315FEFA80GEh4L" TargetMode="External"/><Relationship Id="rId11" Type="http://schemas.openxmlformats.org/officeDocument/2006/relationships/theme" Target="theme/theme1.xml"/><Relationship Id="rId5" Type="http://schemas.openxmlformats.org/officeDocument/2006/relationships/hyperlink" Target="consultantplus://offline/ref=DD7D54FE6C921AD88582136CB85AD28709B694D6CEC87315FEFA80GEh4L" TargetMode="External"/><Relationship Id="rId10" Type="http://schemas.openxmlformats.org/officeDocument/2006/relationships/fontTable" Target="fontTable.xml"/><Relationship Id="rId4" Type="http://schemas.openxmlformats.org/officeDocument/2006/relationships/hyperlink" Target="consultantplus://offline/ref=DD7D54FE6C921AD885821268AB5AD28709BB94DEC59D2417AFAF8EE19ADEDF50EEFF43CDD4B7AFDAGAhAL" TargetMode="External"/><Relationship Id="rId9" Type="http://schemas.openxmlformats.org/officeDocument/2006/relationships/hyperlink" Target="consultantplus://offline/ref=DD7D54FE6C921AD885821268AB5AD28709BD9FD5C79B2417AFAF8EE19ADEDF50EEFF43CDD7GBhF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1823</Words>
  <Characters>10392</Characters>
  <Application>Microsoft Office Word</Application>
  <DocSecurity>0</DocSecurity>
  <Lines>86</Lines>
  <Paragraphs>24</Paragraphs>
  <ScaleCrop>false</ScaleCrop>
  <Company/>
  <LinksUpToDate>false</LinksUpToDate>
  <CharactersWithSpaces>12191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PrikinAV</dc:creator>
  <cp:lastModifiedBy>PrikinAV</cp:lastModifiedBy>
  <cp:revision>1</cp:revision>
  <dcterms:created xsi:type="dcterms:W3CDTF">2013-08-16T11:33:00Z</dcterms:created>
  <dcterms:modified xsi:type="dcterms:W3CDTF">2013-08-16T11:33:00Z</dcterms:modified>
</cp:coreProperties>
</file>